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86" w:rsidRPr="007F1CBF" w:rsidRDefault="00787C6A" w:rsidP="00172086">
      <w:pPr>
        <w:pStyle w:val="s1"/>
        <w:spacing w:line="360" w:lineRule="auto"/>
        <w:jc w:val="center"/>
        <w:rPr>
          <w:rFonts w:eastAsia="Times New Roman" w:cs="Arial"/>
          <w:bCs w:val="0"/>
          <w:color w:val="auto"/>
          <w:sz w:val="28"/>
          <w:szCs w:val="23"/>
          <w:lang w:eastAsia="es-ES"/>
        </w:rPr>
      </w:pPr>
      <w:r w:rsidRPr="005972F1">
        <w:rPr>
          <w:rFonts w:eastAsia="Times New Roman" w:cs="Arial"/>
          <w:bCs w:val="0"/>
          <w:color w:val="auto"/>
          <w:sz w:val="28"/>
          <w:szCs w:val="23"/>
          <w:lang w:eastAsia="es-ES"/>
        </w:rPr>
        <w:t>924</w:t>
      </w:r>
      <w:r w:rsidR="00172086" w:rsidRPr="005972F1">
        <w:rPr>
          <w:rFonts w:eastAsia="Times New Roman" w:cs="Arial"/>
          <w:bCs w:val="0"/>
          <w:color w:val="auto"/>
          <w:sz w:val="28"/>
          <w:szCs w:val="23"/>
          <w:lang w:eastAsia="es-ES"/>
        </w:rPr>
        <w:t xml:space="preserve"> </w:t>
      </w:r>
      <w:r w:rsidR="00172086" w:rsidRPr="007F1CBF">
        <w:rPr>
          <w:rFonts w:eastAsia="Times New Roman" w:cs="Arial"/>
          <w:bCs w:val="0"/>
          <w:color w:val="auto"/>
          <w:sz w:val="28"/>
          <w:szCs w:val="23"/>
          <w:lang w:eastAsia="es-ES"/>
        </w:rPr>
        <w:t>estudiants assignats al TecnoCampus en el procés de preinscripció universitària de juny</w:t>
      </w:r>
    </w:p>
    <w:p w:rsidR="002B1610" w:rsidRPr="002B1610" w:rsidRDefault="002B1610" w:rsidP="002B1610">
      <w:pPr>
        <w:pStyle w:val="s1"/>
        <w:spacing w:before="120" w:beforeAutospacing="0" w:after="120" w:afterAutospacing="0" w:line="360" w:lineRule="auto"/>
        <w:jc w:val="center"/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Nou</w:t>
      </w:r>
      <w:r w:rsidRPr="002B1610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titulacions tancaran matrícula el</w:t>
      </w:r>
      <w:r w:rsidRPr="002B1610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j</w:t>
      </w:r>
      <w:r w:rsidRPr="002B1610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uny</w:t>
      </w:r>
      <w:r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, sense esperar al setembre</w:t>
      </w:r>
    </w:p>
    <w:p w:rsidR="00172086" w:rsidRDefault="00172086" w:rsidP="001720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1F42" w:rsidRDefault="00172086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Els centres universitaris del TecnoCampus tenen com a resultat del procés de prein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s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cripció de juny un total de </w:t>
      </w:r>
      <w:r w:rsidR="00787C6A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924</w:t>
      </w:r>
      <w:r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estudiants assignats per al curs 201</w:t>
      </w:r>
      <w:r w:rsidR="0017529E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7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/201</w:t>
      </w:r>
      <w:r w:rsidR="0017529E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8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. Aquesta xifra </w:t>
      </w:r>
      <w:r w:rsidR="00451F4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és superior a la de l’any passat, e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n què la xifra va ser de 8</w:t>
      </w:r>
      <w:r w:rsidR="0017529E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93</w:t>
      </w:r>
      <w:r w:rsidR="00451F4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, després de creixements continuats els darrers cursos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.</w:t>
      </w:r>
    </w:p>
    <w:p w:rsidR="00172086" w:rsidRPr="00D26633" w:rsidRDefault="00451F42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Fruit d’aquest alta demanda, c</w:t>
      </w:r>
      <w:r w:rsidR="00172086"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al destacar 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que són </w:t>
      </w:r>
      <w:r w:rsidR="00A74937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nou</w:t>
      </w:r>
      <w:r w:rsidR="00172086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(</w:t>
      </w:r>
      <w:r w:rsidR="00A74937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les mateixes que l’any passat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 les titulacions o dobles titulacions</w:t>
      </w:r>
      <w:r w:rsidR="006E36F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de grau</w:t>
      </w:r>
      <w:bookmarkStart w:id="0" w:name="_GoBack"/>
      <w:bookmarkEnd w:id="0"/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que </w:t>
      </w:r>
      <w:r w:rsidR="00A74937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s’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imparteixen al </w:t>
      </w:r>
      <w:proofErr w:type="spellStart"/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TecnoCampus</w:t>
      </w:r>
      <w:proofErr w:type="spellEnd"/>
      <w:r w:rsid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amb nota de tall</w:t>
      </w:r>
      <w:r w:rsidR="00A74937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.</w:t>
      </w:r>
      <w:r w:rsidR="00A74937">
        <w:rPr>
          <w:rFonts w:ascii="Arial" w:eastAsia="Times New Roman" w:hAnsi="Arial" w:cs="Arial"/>
          <w:b w:val="0"/>
          <w:color w:val="FF0000"/>
          <w:sz w:val="23"/>
          <w:szCs w:val="23"/>
          <w:lang w:eastAsia="es-ES"/>
        </w:rPr>
        <w:t xml:space="preserve"> </w:t>
      </w:r>
    </w:p>
    <w:p w:rsidR="00A74937" w:rsidRDefault="00172086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En la preinscripció de juny, les dades referents als estudiants que trien el TecnoCampus com a primera opció són especialment rellevants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, ja que indiquen el nivell de preferència pel centre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.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Un total de </w:t>
      </w:r>
      <w:r w:rsidR="002B161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837 estudiants van fer aquesta tria en primera opció pel TecnoCampus. </w:t>
      </w:r>
      <w:r w:rsidR="002B1610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209 </w:t>
      </w:r>
      <w:r w:rsidR="002B161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n’han quedat fora </w:t>
      </w:r>
      <w:r w:rsidR="002B1610" w:rsidRPr="00CA6C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per la nota de tall</w:t>
      </w:r>
      <w:r w:rsidR="002B1610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de manera que finalment són </w:t>
      </w:r>
      <w:r w:rsidR="0017529E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6</w:t>
      </w:r>
      <w:r w:rsidR="00451F42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28</w:t>
      </w:r>
      <w:r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="002B1610" w:rsidRPr="005972F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els </w:t>
      </w:r>
      <w:r w:rsidRPr="00422FB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estudiants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assignats</w:t>
      </w:r>
      <w:r w:rsidR="00A74937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="002B161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en primera opció </w:t>
      </w:r>
      <w:r w:rsidR="00A74937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(un 70% del total</w:t>
      </w:r>
      <w:r w:rsidR="00B9117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de 924</w:t>
      </w:r>
      <w:r w:rsidR="00A74937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percentatge que </w:t>
      </w:r>
      <w:r w:rsidR="002B161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el juny passat va ser del 60%).</w:t>
      </w:r>
    </w:p>
    <w:p w:rsidR="00B91174" w:rsidRDefault="00B91174" w:rsidP="00B91174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El següent gràfic evidencia que el TecnoCampus ha anat guanyant prestigi i acceptació els darrers cursos, de manera que la demanda en primera opció ha crescut any rere any.</w:t>
      </w:r>
    </w:p>
    <w:p w:rsidR="00B91174" w:rsidRDefault="00B91174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</w:p>
    <w:p w:rsidR="00451F42" w:rsidRDefault="00451F42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noProof/>
        </w:rPr>
        <w:lastRenderedPageBreak/>
        <w:drawing>
          <wp:inline distT="0" distB="0" distL="0" distR="0" wp14:anchorId="205D0914" wp14:editId="2C321890">
            <wp:extent cx="4878705" cy="2641107"/>
            <wp:effectExtent l="0" t="0" r="17145" b="6985"/>
            <wp:docPr id="1" name="Gràfi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</w:p>
    <w:p w:rsidR="00172086" w:rsidRDefault="00451F42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ls tres centres universitaris del TecnoCampus, tots ells adscrits a la Universitat Pompeu Fabra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, són l’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Escola Superior Politècnica,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l’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Escola Superior de Ciències Socials i de l’Empresa i Escola Su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perior de Ciències de la Salut. L’oferta conjunta per al proper curs és de 12 titulacions de grau, 4 de doble</w:t>
      </w:r>
      <w:r w:rsidR="00B9117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grau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a més de màsters i postgraus. </w:t>
      </w:r>
      <w:r w:rsidR="002B161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Nou titulacions quedaran plenes en la matrícula de juny, i no quedaran places per la de setembre.</w:t>
      </w:r>
    </w:p>
    <w:p w:rsidR="00172086" w:rsidRPr="00422FBC" w:rsidRDefault="007F634C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Es 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preveu </w:t>
      </w:r>
      <w:r w:rsidR="0017529E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que </w:t>
      </w:r>
      <w:r w:rsidR="0017208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la xifra dels </w:t>
      </w:r>
      <w:r w:rsidR="0017529E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estudiants matriculats el curs vinent superi de nou, com ja ha fet aquest curs, els 3.000 estudiants.</w:t>
      </w:r>
    </w:p>
    <w:p w:rsidR="008676E2" w:rsidRDefault="008676E2" w:rsidP="00667128">
      <w:pPr>
        <w:rPr>
          <w:rFonts w:ascii="Arial" w:eastAsia="Times New Roman" w:hAnsi="Arial" w:cs="Arial"/>
          <w:sz w:val="21"/>
          <w:szCs w:val="21"/>
          <w:u w:val="single"/>
          <w:lang w:eastAsia="es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</w:t>
      </w:r>
      <w:proofErr w:type="spellStart"/>
      <w:r w:rsidRPr="00434776">
        <w:rPr>
          <w:rFonts w:ascii="Arial" w:eastAsia="Times New Roman" w:hAnsi="Arial" w:cs="Arial"/>
          <w:sz w:val="21"/>
          <w:szCs w:val="21"/>
          <w:lang w:eastAsia="es-ES"/>
        </w:rPr>
        <w:t>Ribet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9" w:history="1">
        <w:r w:rsidRPr="00434776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6A" w:rsidRDefault="002A566A" w:rsidP="00BE5914">
      <w:pPr>
        <w:spacing w:after="0"/>
      </w:pPr>
      <w:r>
        <w:separator/>
      </w:r>
    </w:p>
  </w:endnote>
  <w:endnote w:type="continuationSeparator" w:id="0">
    <w:p w:rsidR="002A566A" w:rsidRDefault="002A566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6E36F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8676E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6E36F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8676E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6A" w:rsidRDefault="002A566A" w:rsidP="00BE5914">
      <w:pPr>
        <w:spacing w:after="0"/>
      </w:pPr>
      <w:r>
        <w:separator/>
      </w:r>
    </w:p>
  </w:footnote>
  <w:footnote w:type="continuationSeparator" w:id="0">
    <w:p w:rsidR="002A566A" w:rsidRDefault="002A566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544A188" wp14:editId="34F57F00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775813">
                            <w:t>296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4A18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775813">
                      <w:t>296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00C81ED0" wp14:editId="1852C066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775813">
                            <w:t>296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775813">
                      <w:t>296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8AA"/>
    <w:multiLevelType w:val="hybridMultilevel"/>
    <w:tmpl w:val="F946AB7C"/>
    <w:lvl w:ilvl="0" w:tplc="E1CE372C">
      <w:start w:val="4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2086"/>
    <w:rsid w:val="001735C5"/>
    <w:rsid w:val="0017529E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0DC1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1610"/>
    <w:rsid w:val="002C27FD"/>
    <w:rsid w:val="002E71E7"/>
    <w:rsid w:val="002F30FE"/>
    <w:rsid w:val="002F4E92"/>
    <w:rsid w:val="002F539F"/>
    <w:rsid w:val="0030469E"/>
    <w:rsid w:val="003058ED"/>
    <w:rsid w:val="0030593F"/>
    <w:rsid w:val="00315057"/>
    <w:rsid w:val="00315D19"/>
    <w:rsid w:val="00316A00"/>
    <w:rsid w:val="00321BEB"/>
    <w:rsid w:val="0033067D"/>
    <w:rsid w:val="003367E4"/>
    <w:rsid w:val="003700B1"/>
    <w:rsid w:val="0037386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51F42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155D"/>
    <w:rsid w:val="00593F48"/>
    <w:rsid w:val="005952C3"/>
    <w:rsid w:val="00595FFC"/>
    <w:rsid w:val="00596997"/>
    <w:rsid w:val="005972F1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E36FD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813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87C6A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7F634C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676E2"/>
    <w:rsid w:val="0087021B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6620"/>
    <w:rsid w:val="00A070C0"/>
    <w:rsid w:val="00A1101A"/>
    <w:rsid w:val="00A22D2B"/>
    <w:rsid w:val="00A506E1"/>
    <w:rsid w:val="00A609BB"/>
    <w:rsid w:val="00A65046"/>
    <w:rsid w:val="00A74937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D6D28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60B1E"/>
    <w:rsid w:val="00B62313"/>
    <w:rsid w:val="00B6789F"/>
    <w:rsid w:val="00B7546B"/>
    <w:rsid w:val="00B91174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E7B5A"/>
    <w:rsid w:val="00BF1A64"/>
    <w:rsid w:val="00BF48C2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66349"/>
    <w:rsid w:val="00C902A5"/>
    <w:rsid w:val="00CA0472"/>
    <w:rsid w:val="00CA6018"/>
    <w:rsid w:val="00CC219D"/>
    <w:rsid w:val="00CC4919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44422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3559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3CA2"/>
    <w:rsid w:val="00F952F4"/>
    <w:rsid w:val="00F972EA"/>
    <w:rsid w:val="00F9733D"/>
    <w:rsid w:val="00FA0465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5Car">
    <w:name w:val="Título 5 Car"/>
    <w:basedOn w:val="Fuentedeprrafopredeter"/>
    <w:link w:val="Ttulo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libr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 sz="1200" b="1"/>
              <a:t>Evolució demanda (sol·licitants en primera preferència) en els estudis universitaris de Tecnocampus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Full1!$C$45</c:f>
              <c:strCache>
                <c:ptCount val="1"/>
                <c:pt idx="0">
                  <c:v>ESUPT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Full1!$D$44:$K$44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Full1!$D$45:$K$45</c:f>
              <c:numCache>
                <c:formatCode>General</c:formatCode>
                <c:ptCount val="8"/>
                <c:pt idx="0">
                  <c:v>189</c:v>
                </c:pt>
                <c:pt idx="1">
                  <c:v>247</c:v>
                </c:pt>
                <c:pt idx="2">
                  <c:v>199</c:v>
                </c:pt>
                <c:pt idx="3">
                  <c:v>219</c:v>
                </c:pt>
                <c:pt idx="4">
                  <c:v>228</c:v>
                </c:pt>
                <c:pt idx="5">
                  <c:v>232</c:v>
                </c:pt>
                <c:pt idx="6">
                  <c:v>258</c:v>
                </c:pt>
                <c:pt idx="7">
                  <c:v>304</c:v>
                </c:pt>
              </c:numCache>
            </c:numRef>
          </c:val>
        </c:ser>
        <c:ser>
          <c:idx val="1"/>
          <c:order val="1"/>
          <c:tx>
            <c:strRef>
              <c:f>Full1!$C$46</c:f>
              <c:strCache>
                <c:ptCount val="1"/>
                <c:pt idx="0">
                  <c:v>ESCSET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Full1!$D$44:$K$44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Full1!$D$46:$K$46</c:f>
              <c:numCache>
                <c:formatCode>General</c:formatCode>
                <c:ptCount val="8"/>
                <c:pt idx="0">
                  <c:v>91</c:v>
                </c:pt>
                <c:pt idx="1">
                  <c:v>103</c:v>
                </c:pt>
                <c:pt idx="2">
                  <c:v>139</c:v>
                </c:pt>
                <c:pt idx="3">
                  <c:v>168</c:v>
                </c:pt>
                <c:pt idx="4">
                  <c:v>264</c:v>
                </c:pt>
                <c:pt idx="5">
                  <c:v>283</c:v>
                </c:pt>
                <c:pt idx="6">
                  <c:v>282</c:v>
                </c:pt>
                <c:pt idx="7">
                  <c:v>276</c:v>
                </c:pt>
              </c:numCache>
            </c:numRef>
          </c:val>
        </c:ser>
        <c:ser>
          <c:idx val="2"/>
          <c:order val="2"/>
          <c:tx>
            <c:strRef>
              <c:f>Full1!$C$47</c:f>
              <c:strCache>
                <c:ptCount val="1"/>
                <c:pt idx="0">
                  <c:v>ESCST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Full1!$D$44:$K$44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Full1!$D$47:$K$47</c:f>
              <c:numCache>
                <c:formatCode>General</c:formatCode>
                <c:ptCount val="8"/>
                <c:pt idx="0">
                  <c:v>68</c:v>
                </c:pt>
                <c:pt idx="1">
                  <c:v>110</c:v>
                </c:pt>
                <c:pt idx="2">
                  <c:v>139</c:v>
                </c:pt>
                <c:pt idx="3">
                  <c:v>173</c:v>
                </c:pt>
                <c:pt idx="4">
                  <c:v>169</c:v>
                </c:pt>
                <c:pt idx="5">
                  <c:v>191</c:v>
                </c:pt>
                <c:pt idx="6">
                  <c:v>235</c:v>
                </c:pt>
                <c:pt idx="7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5706464"/>
        <c:axId val="1905704832"/>
      </c:barChart>
      <c:lineChart>
        <c:grouping val="standard"/>
        <c:varyColors val="0"/>
        <c:ser>
          <c:idx val="3"/>
          <c:order val="3"/>
          <c:tx>
            <c:strRef>
              <c:f>Full1!$C$48</c:f>
              <c:strCache>
                <c:ptCount val="1"/>
                <c:pt idx="0">
                  <c:v>Tecnocampus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Full1!$D$44:$K$44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Full1!$D$48:$K$48</c:f>
              <c:numCache>
                <c:formatCode>General</c:formatCode>
                <c:ptCount val="8"/>
                <c:pt idx="0">
                  <c:v>348</c:v>
                </c:pt>
                <c:pt idx="1">
                  <c:v>460</c:v>
                </c:pt>
                <c:pt idx="2">
                  <c:v>477</c:v>
                </c:pt>
                <c:pt idx="3">
                  <c:v>560</c:v>
                </c:pt>
                <c:pt idx="4">
                  <c:v>661</c:v>
                </c:pt>
                <c:pt idx="5">
                  <c:v>706</c:v>
                </c:pt>
                <c:pt idx="6">
                  <c:v>775</c:v>
                </c:pt>
                <c:pt idx="7">
                  <c:v>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5706464"/>
        <c:axId val="1905704832"/>
      </c:lineChart>
      <c:catAx>
        <c:axId val="190570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1905704832"/>
        <c:crosses val="autoZero"/>
        <c:auto val="1"/>
        <c:lblAlgn val="ctr"/>
        <c:lblOffset val="100"/>
        <c:noMultiLvlLbl val="0"/>
      </c:catAx>
      <c:valAx>
        <c:axId val="190570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190570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7523-3F17-4E00-B427-E72FCCC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1975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3</cp:revision>
  <cp:lastPrinted>2016-06-13T10:10:00Z</cp:lastPrinted>
  <dcterms:created xsi:type="dcterms:W3CDTF">2017-07-12T09:09:00Z</dcterms:created>
  <dcterms:modified xsi:type="dcterms:W3CDTF">2017-07-12T09:09:00Z</dcterms:modified>
</cp:coreProperties>
</file>