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D" w:rsidRPr="004E751B" w:rsidRDefault="004E751B">
      <w:pPr>
        <w:pStyle w:val="Body"/>
        <w:spacing w:line="360" w:lineRule="auto"/>
        <w:jc w:val="center"/>
        <w:rPr>
          <w:rStyle w:val="None"/>
          <w:rFonts w:ascii="Verdana" w:eastAsia="Verdana" w:hAnsi="Verdana" w:cs="Verdana"/>
          <w:b/>
          <w:bCs/>
          <w:sz w:val="32"/>
          <w:szCs w:val="32"/>
        </w:rPr>
      </w:pPr>
      <w:r w:rsidRPr="004E751B">
        <w:rPr>
          <w:rStyle w:val="None"/>
          <w:rFonts w:ascii="Verdana" w:hAnsi="Verdana"/>
          <w:b/>
          <w:bCs/>
          <w:sz w:val="32"/>
          <w:szCs w:val="32"/>
        </w:rPr>
        <w:t xml:space="preserve">El futbolista David </w:t>
      </w:r>
      <w:proofErr w:type="spellStart"/>
      <w:r w:rsidRPr="004E751B">
        <w:rPr>
          <w:rStyle w:val="None"/>
          <w:rFonts w:ascii="Verdana" w:hAnsi="Verdana"/>
          <w:b/>
          <w:bCs/>
          <w:sz w:val="32"/>
          <w:szCs w:val="32"/>
        </w:rPr>
        <w:t>Villa</w:t>
      </w:r>
      <w:proofErr w:type="spellEnd"/>
      <w:r w:rsidRPr="004E751B">
        <w:rPr>
          <w:rStyle w:val="None"/>
          <w:rFonts w:ascii="Verdana" w:hAnsi="Verdana"/>
          <w:b/>
          <w:bCs/>
          <w:sz w:val="32"/>
          <w:szCs w:val="32"/>
        </w:rPr>
        <w:t xml:space="preserve"> entra en l’accionariat de l’empresa del </w:t>
      </w:r>
      <w:proofErr w:type="spellStart"/>
      <w:r w:rsidRPr="004E751B">
        <w:rPr>
          <w:rStyle w:val="None"/>
          <w:rFonts w:ascii="Verdana" w:hAnsi="Verdana"/>
          <w:b/>
          <w:bCs/>
          <w:sz w:val="32"/>
          <w:szCs w:val="32"/>
        </w:rPr>
        <w:t>TecnoCampus</w:t>
      </w:r>
      <w:proofErr w:type="spellEnd"/>
      <w:r w:rsidRPr="004E751B">
        <w:rPr>
          <w:rStyle w:val="None"/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4E751B">
        <w:rPr>
          <w:rStyle w:val="None"/>
          <w:rFonts w:ascii="Verdana" w:hAnsi="Verdana"/>
          <w:b/>
          <w:bCs/>
          <w:sz w:val="32"/>
          <w:szCs w:val="32"/>
        </w:rPr>
        <w:t>FootballAim</w:t>
      </w:r>
      <w:proofErr w:type="spellEnd"/>
    </w:p>
    <w:p w:rsidR="003B00AD" w:rsidRPr="004E751B" w:rsidRDefault="004E751B">
      <w:pPr>
        <w:pStyle w:val="Body"/>
        <w:spacing w:line="360" w:lineRule="auto"/>
        <w:jc w:val="center"/>
        <w:rPr>
          <w:rStyle w:val="None"/>
          <w:rFonts w:ascii="Arial" w:eastAsia="Arial" w:hAnsi="Arial" w:cs="Arial"/>
          <w:i/>
          <w:iCs/>
          <w:sz w:val="26"/>
          <w:szCs w:val="26"/>
        </w:rPr>
      </w:pPr>
      <w:r w:rsidRPr="004E751B">
        <w:rPr>
          <w:rStyle w:val="None"/>
          <w:rFonts w:ascii="Arial" w:hAnsi="Arial"/>
          <w:i/>
          <w:iCs/>
          <w:sz w:val="26"/>
          <w:szCs w:val="26"/>
        </w:rPr>
        <w:t xml:space="preserve">El grau de Ciències de l’Activitat Física i de l’Esport també usarà l’eina de gestió esportiva </w:t>
      </w:r>
      <w:proofErr w:type="spellStart"/>
      <w:r w:rsidRPr="004E751B">
        <w:rPr>
          <w:rStyle w:val="None"/>
          <w:rFonts w:ascii="Arial" w:hAnsi="Arial"/>
          <w:i/>
          <w:iCs/>
          <w:sz w:val="26"/>
          <w:szCs w:val="26"/>
        </w:rPr>
        <w:t>FootballAim</w:t>
      </w:r>
      <w:proofErr w:type="spellEnd"/>
    </w:p>
    <w:p w:rsidR="003B00AD" w:rsidRPr="004E751B" w:rsidRDefault="003B00AD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:rsidR="003B00AD" w:rsidRPr="004E751B" w:rsidRDefault="004E751B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  <w:r w:rsidRPr="004E751B">
        <w:rPr>
          <w:rStyle w:val="None"/>
          <w:rFonts w:ascii="Arial" w:hAnsi="Arial"/>
          <w:sz w:val="26"/>
          <w:szCs w:val="26"/>
        </w:rPr>
        <w:t xml:space="preserve">L’empresa del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TecnoCampus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FootballAim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 té un nou soci de renom: el futbolista David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Villa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. 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FootballAim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 ha dissenyat un sistema de gestió que posa a disposició de clubs, entrenadors i jugadors i que permet  desenvolupar metodologies, planificacions de temporada, estadística de les evolucions dels jugadors i equips i el cobrament de les quotes.  Amb aquesta eina, els entrenadors poden fer una millor gestió de l’equip, determinar les seves necessitats i millorar el seu rendiment.</w:t>
      </w:r>
    </w:p>
    <w:p w:rsidR="003B00AD" w:rsidRPr="004E751B" w:rsidRDefault="004E751B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  <w:r w:rsidRPr="004E751B">
        <w:rPr>
          <w:rStyle w:val="None"/>
          <w:rFonts w:ascii="Arial" w:hAnsi="Arial"/>
          <w:sz w:val="26"/>
          <w:szCs w:val="26"/>
        </w:rPr>
        <w:t xml:space="preserve">Segons Emilio Gómez, cofundador de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FootballAim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, amb aquesta incorporació, l’empresa vol accelerar l’expansió de la seva aplicació als Estats Units, on actualment hi juga David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Villa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>.</w:t>
      </w:r>
    </w:p>
    <w:p w:rsidR="003B00AD" w:rsidRPr="004E751B" w:rsidRDefault="004E751B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i/>
          <w:iCs/>
          <w:sz w:val="26"/>
          <w:szCs w:val="26"/>
        </w:rPr>
      </w:pPr>
      <w:r w:rsidRPr="004E751B">
        <w:rPr>
          <w:rStyle w:val="None"/>
          <w:rFonts w:ascii="Arial" w:hAnsi="Arial"/>
          <w:i/>
          <w:iCs/>
          <w:sz w:val="26"/>
          <w:szCs w:val="26"/>
        </w:rPr>
        <w:t xml:space="preserve">Proveïdor al </w:t>
      </w:r>
      <w:proofErr w:type="spellStart"/>
      <w:r w:rsidRPr="004E751B">
        <w:rPr>
          <w:rStyle w:val="None"/>
          <w:rFonts w:ascii="Arial" w:hAnsi="Arial"/>
          <w:i/>
          <w:iCs/>
          <w:sz w:val="26"/>
          <w:szCs w:val="26"/>
        </w:rPr>
        <w:t>TecnoCampus</w:t>
      </w:r>
      <w:proofErr w:type="spellEnd"/>
    </w:p>
    <w:p w:rsidR="003B00AD" w:rsidRPr="004E751B" w:rsidRDefault="004E751B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  <w:r w:rsidRPr="004E751B">
        <w:rPr>
          <w:rStyle w:val="None"/>
          <w:rFonts w:ascii="Arial" w:hAnsi="Arial"/>
          <w:sz w:val="26"/>
          <w:szCs w:val="26"/>
        </w:rPr>
        <w:t xml:space="preserve">La qualitat de l’eina dissenyada per aquesta empresa, allotjada a la incubadora de nous projectes empresarials del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TecnoCampus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, ha </w:t>
      </w:r>
      <w:r w:rsidRPr="004E751B">
        <w:rPr>
          <w:rStyle w:val="None"/>
          <w:rFonts w:ascii="Arial" w:hAnsi="Arial"/>
          <w:sz w:val="26"/>
          <w:szCs w:val="26"/>
        </w:rPr>
        <w:lastRenderedPageBreak/>
        <w:t>fet que interessi a un dels centres universitaris del parc: l’Escola Superior de Ciències de la Salut (l’ESCST).</w:t>
      </w:r>
    </w:p>
    <w:p w:rsidR="003B00AD" w:rsidRPr="004E751B" w:rsidRDefault="004E751B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  <w:r w:rsidRPr="004E751B">
        <w:rPr>
          <w:rStyle w:val="None"/>
          <w:rFonts w:ascii="Arial" w:hAnsi="Arial"/>
          <w:sz w:val="26"/>
          <w:szCs w:val="26"/>
        </w:rPr>
        <w:t xml:space="preserve">El sistema dissenyat per aquesta empresa serà usat pels responsables acadèmics del grau en Ciències de l’Activitat Física i l’Esport. A l’assignatura d’Esports Col·lectius I, s’usarà l’eina de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FootballAim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 xml:space="preserve"> a partir del curs vinent per treballar les sessions d’entrenament que han de presentar els alumnes. Els alumnes, a més de veure el seu treball, també podran compartir i veure els exercicis i sessions d’entrenament dels altres alumnes. També els permetrà tenir un fitxer d’exercicis per temàtica.</w:t>
      </w:r>
    </w:p>
    <w:p w:rsidR="003B00AD" w:rsidRDefault="004E751B">
      <w:pPr>
        <w:pStyle w:val="Body"/>
        <w:spacing w:line="360" w:lineRule="auto"/>
        <w:jc w:val="both"/>
        <w:rPr>
          <w:rStyle w:val="None"/>
          <w:rFonts w:ascii="Arial" w:hAnsi="Arial"/>
          <w:sz w:val="26"/>
          <w:szCs w:val="26"/>
        </w:rPr>
      </w:pPr>
      <w:r w:rsidRPr="004E751B">
        <w:rPr>
          <w:rStyle w:val="None"/>
          <w:rFonts w:ascii="Arial" w:hAnsi="Arial"/>
          <w:sz w:val="26"/>
          <w:szCs w:val="26"/>
        </w:rPr>
        <w:t xml:space="preserve">La idea de l’ESCST és introduir les noves tecnologies en l’àmbit de l’entrenament, per millorar el rendiment i optimitzar la gestió a futurs graduats del Grau en CAFE del </w:t>
      </w:r>
      <w:proofErr w:type="spellStart"/>
      <w:r w:rsidRPr="004E751B">
        <w:rPr>
          <w:rStyle w:val="None"/>
          <w:rFonts w:ascii="Arial" w:hAnsi="Arial"/>
          <w:sz w:val="26"/>
          <w:szCs w:val="26"/>
        </w:rPr>
        <w:t>TecnoCamnpus</w:t>
      </w:r>
      <w:proofErr w:type="spellEnd"/>
      <w:r w:rsidRPr="004E751B">
        <w:rPr>
          <w:rStyle w:val="None"/>
          <w:rFonts w:ascii="Arial" w:hAnsi="Arial"/>
          <w:sz w:val="26"/>
          <w:szCs w:val="26"/>
        </w:rPr>
        <w:t>.</w:t>
      </w:r>
    </w:p>
    <w:p w:rsidR="00403741" w:rsidRPr="004E751B" w:rsidRDefault="00403741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  <w:proofErr w:type="spellStart"/>
      <w:r>
        <w:rPr>
          <w:rStyle w:val="None"/>
          <w:rFonts w:ascii="Arial" w:hAnsi="Arial"/>
          <w:sz w:val="26"/>
          <w:szCs w:val="26"/>
        </w:rPr>
        <w:t>FootballAim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també col·laborarà amb el </w:t>
      </w:r>
      <w:proofErr w:type="spellStart"/>
      <w:r>
        <w:rPr>
          <w:rStyle w:val="None"/>
          <w:rFonts w:ascii="Arial" w:hAnsi="Arial"/>
          <w:sz w:val="26"/>
          <w:szCs w:val="26"/>
        </w:rPr>
        <w:t>TecnoCampus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en l’àmbit de les </w:t>
      </w:r>
      <w:proofErr w:type="spellStart"/>
      <w:r>
        <w:rPr>
          <w:rStyle w:val="None"/>
          <w:rFonts w:ascii="Arial" w:hAnsi="Arial"/>
          <w:sz w:val="26"/>
          <w:szCs w:val="26"/>
        </w:rPr>
        <w:t>carerres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professionals dels estudiants, amb iniciatives com el Fòrum del Talent.</w:t>
      </w:r>
      <w:bookmarkStart w:id="0" w:name="_GoBack"/>
      <w:bookmarkEnd w:id="0"/>
    </w:p>
    <w:p w:rsidR="003B00AD" w:rsidRPr="004E751B" w:rsidRDefault="003B00AD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:rsidR="003B00AD" w:rsidRDefault="004E751B">
      <w:pPr>
        <w:pStyle w:val="Body"/>
        <w:tabs>
          <w:tab w:val="left" w:pos="2670"/>
        </w:tabs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 xml:space="preserve">    </w:t>
      </w:r>
    </w:p>
    <w:p w:rsidR="003B00AD" w:rsidRDefault="004E751B">
      <w:pPr>
        <w:pStyle w:val="Body"/>
        <w:tabs>
          <w:tab w:val="left" w:pos="2670"/>
        </w:tabs>
      </w:pPr>
      <w:r>
        <w:rPr>
          <w:rStyle w:val="None"/>
          <w:rFonts w:ascii="Arial" w:hAnsi="Arial"/>
          <w:sz w:val="26"/>
          <w:szCs w:val="26"/>
        </w:rPr>
        <w:t xml:space="preserve">       M</w:t>
      </w:r>
      <w:proofErr w:type="spellStart"/>
      <w:r>
        <w:rPr>
          <w:rStyle w:val="None"/>
          <w:rFonts w:ascii="Arial" w:hAnsi="Arial"/>
          <w:sz w:val="26"/>
          <w:szCs w:val="26"/>
          <w:lang w:val="es-ES_tradnl"/>
        </w:rPr>
        <w:t>és</w:t>
      </w:r>
      <w:proofErr w:type="spellEnd"/>
      <w:r>
        <w:rPr>
          <w:rStyle w:val="None"/>
          <w:rFonts w:ascii="Arial" w:hAnsi="Arial"/>
          <w:sz w:val="26"/>
          <w:szCs w:val="26"/>
          <w:lang w:val="es-ES_tradnl"/>
        </w:rPr>
        <w:t xml:space="preserve"> </w:t>
      </w:r>
      <w:proofErr w:type="spellStart"/>
      <w:r>
        <w:rPr>
          <w:rStyle w:val="None"/>
          <w:rFonts w:ascii="Arial" w:hAnsi="Arial"/>
          <w:sz w:val="26"/>
          <w:szCs w:val="26"/>
          <w:lang w:val="es-ES_tradnl"/>
        </w:rPr>
        <w:t>informació</w:t>
      </w:r>
      <w:proofErr w:type="spellEnd"/>
      <w:r>
        <w:rPr>
          <w:rStyle w:val="None"/>
          <w:rFonts w:ascii="Arial" w:hAnsi="Arial"/>
          <w:sz w:val="26"/>
          <w:szCs w:val="26"/>
        </w:rPr>
        <w:t>:</w:t>
      </w:r>
      <w:r>
        <w:rPr>
          <w:rStyle w:val="None"/>
          <w:rFonts w:ascii="Arial" w:hAnsi="Arial"/>
          <w:sz w:val="26"/>
          <w:szCs w:val="26"/>
        </w:rPr>
        <w:tab/>
      </w:r>
      <w:r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None"/>
          <w:rFonts w:ascii="Arial" w:hAnsi="Arial"/>
          <w:sz w:val="26"/>
          <w:szCs w:val="26"/>
        </w:rPr>
        <w:t xml:space="preserve">       </w:t>
      </w:r>
      <w:r>
        <w:rPr>
          <w:rStyle w:val="None"/>
          <w:rFonts w:ascii="Arial" w:hAnsi="Arial"/>
          <w:sz w:val="26"/>
          <w:szCs w:val="26"/>
          <w:lang w:val="pt-PT"/>
        </w:rPr>
        <w:t xml:space="preserve">Oriol Ribet </w:t>
      </w:r>
      <w:r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None"/>
          <w:rFonts w:ascii="Arial" w:hAnsi="Arial"/>
          <w:sz w:val="26"/>
          <w:szCs w:val="26"/>
        </w:rPr>
        <w:t xml:space="preserve">       </w:t>
      </w:r>
      <w:proofErr w:type="spellStart"/>
      <w:r>
        <w:rPr>
          <w:rStyle w:val="None"/>
          <w:rFonts w:ascii="Arial" w:hAnsi="Arial"/>
          <w:sz w:val="26"/>
          <w:szCs w:val="26"/>
        </w:rPr>
        <w:t>Telf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. 93 741 49 60 / 678 794 288 </w:t>
      </w:r>
      <w:r>
        <w:rPr>
          <w:rStyle w:val="None"/>
          <w:rFonts w:ascii="Arial Unicode MS" w:eastAsia="Arial Unicode MS" w:hAnsi="Arial Unicode MS" w:cs="Arial Unicode MS"/>
          <w:sz w:val="26"/>
          <w:szCs w:val="26"/>
        </w:rPr>
        <w:br/>
      </w:r>
      <w:r>
        <w:t xml:space="preserve">        </w:t>
      </w:r>
      <w:r>
        <w:rPr>
          <w:lang w:val="es-ES_tradnl"/>
        </w:rPr>
        <w:t xml:space="preserve"> </w:t>
      </w:r>
      <w:hyperlink r:id="rId6" w:history="1">
        <w:r>
          <w:rPr>
            <w:rStyle w:val="Hyperlink1"/>
            <w:lang w:val="it-IT"/>
          </w:rPr>
          <w:t>www.tecnocampus.cat</w:t>
        </w:r>
      </w:hyperlink>
    </w:p>
    <w:sectPr w:rsidR="003B00A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8C" w:rsidRDefault="004E751B">
      <w:r>
        <w:separator/>
      </w:r>
    </w:p>
  </w:endnote>
  <w:endnote w:type="continuationSeparator" w:id="0">
    <w:p w:rsidR="000D248C" w:rsidRDefault="004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8C" w:rsidRDefault="004E751B">
      <w:r>
        <w:separator/>
      </w:r>
    </w:p>
  </w:footnote>
  <w:footnote w:type="continuationSeparator" w:id="0">
    <w:p w:rsidR="000D248C" w:rsidRDefault="004E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4E751B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E751B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07.5pt;margin-top:74.7pt;width:255.1pt;height:2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ta premsa texto"/>
                    </w:pPr>
                    <w:r>
                      <w:rPr>
                        <w:rtl w:val="0"/>
                      </w:rPr>
                      <w:t>Nota de premsa 170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E751B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01.5pt;margin-top:96.0pt;width:255.1pt;height:2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ta premsa texto"/>
                    </w:pPr>
                    <w:r>
                      <w:rPr>
                        <w:rtl w:val="0"/>
                      </w:rPr>
                      <w:t>Nota de premsa 319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0374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4E751B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21.2pt;margin-top:804.1pt;width:173.3pt;height:41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"http://www.tecnocampus.cat"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it-IT"/>
                      </w:rPr>
                      <w:t>www.tecnocampus.cat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4E751B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E751B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133.3pt;margin-top:161.6pt;width:425.2pt;height:24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echa texto"/>
                    </w:pPr>
                    <w:r>
                      <w:rPr>
                        <w:rtl w:val="0"/>
                      </w:rPr>
                      <w:t>29/10/2014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E751B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95.2pt;margin-top:96.0pt;width:255.1pt;height:2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ta premsa texto"/>
                    </w:pPr>
                    <w:r>
                      <w:rPr>
                        <w:rtl w:val="0"/>
                      </w:rPr>
                      <w:t>Nota de premsa 319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40374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4E751B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21.2pt;margin-top:804.6pt;width:173.3pt;height:41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"http://www.tecnocampus.cat"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it-IT"/>
                      </w:rPr>
                      <w:t>www.tecnocampus.cat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D248C"/>
    <w:rsid w:val="003B00AD"/>
    <w:rsid w:val="00403741"/>
    <w:rsid w:val="004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Ribet Casademunt</dc:creator>
  <cp:lastModifiedBy>Oriol Ribet Casademunt</cp:lastModifiedBy>
  <cp:revision>2</cp:revision>
  <dcterms:created xsi:type="dcterms:W3CDTF">2018-02-22T13:44:00Z</dcterms:created>
  <dcterms:modified xsi:type="dcterms:W3CDTF">2018-02-22T13:44:00Z</dcterms:modified>
</cp:coreProperties>
</file>