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C4" w:rsidRPr="00A344C4" w:rsidRDefault="00F360A8" w:rsidP="00A344C4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Un Treball de Recerca sobre cases domòtiques guanya la quarta edició de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l’Install</w:t>
      </w:r>
      <w:proofErr w:type="spellEnd"/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Party</w:t>
      </w:r>
      <w:proofErr w:type="spellEnd"/>
    </w:p>
    <w:p w:rsidR="00885285" w:rsidRDefault="00885285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F360A8" w:rsidRDefault="00F360A8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bookmarkStart w:id="0" w:name="_GoBack"/>
      <w:bookmarkEnd w:id="0"/>
      <w:r w:rsidRPr="00F360A8">
        <w:rPr>
          <w:rFonts w:ascii="Arial" w:eastAsia="Times New Roman" w:hAnsi="Arial" w:cs="Arial"/>
          <w:color w:val="3F3F38"/>
          <w:lang w:val="ca-ES"/>
        </w:rPr>
        <w:t xml:space="preserve">El TecnoCampus va acollir el passat divendres 20 d’abril la quarta edició de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l’Install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Party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, una trobada que reuneix estudiants, centres educatius i empreses per posar en comú treballs i projectes tecnològics. Arnau Boix, estudiant de l’Institut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Vilatzara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>, de Vilassar de Mar, va guanyar el concurs de Treballs de Recerca de batxillerat en l’àmbit tecnològic amb un projecte sobre cases domòtiques. Es tracta d’un concepte que fa referència a la integració de diferents tecnologies de la llarg a través de l’ús simultani d’electricitat, electrònica informàtica i telecomunicacions.</w:t>
      </w:r>
    </w:p>
    <w:p w:rsidR="00885285" w:rsidRPr="00F360A8" w:rsidRDefault="00885285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F360A8" w:rsidRDefault="00F360A8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F360A8">
        <w:rPr>
          <w:rFonts w:ascii="Arial" w:eastAsia="Times New Roman" w:hAnsi="Arial" w:cs="Arial"/>
          <w:color w:val="3F3F38"/>
          <w:lang w:val="ca-ES"/>
        </w:rPr>
        <w:t>Sota el títol “Cases domòtiques, les cases del futur”, en aquest treball Boix no només fa un anàlisi exhaustiu del futur de les cases domòtiques, sinó que alhora explora i planteja sistemes de detecció d’errors pel que fa la implementació d’aquesta tecnologia. També es va atorgar una menció honorífica a l’estudiant Laia Gabarró pel seu Treball de Recerca sobre implem</w:t>
      </w:r>
      <w:r>
        <w:rPr>
          <w:rFonts w:ascii="Arial" w:eastAsia="Times New Roman" w:hAnsi="Arial" w:cs="Arial"/>
          <w:color w:val="3F3F38"/>
          <w:lang w:val="ca-ES"/>
        </w:rPr>
        <w:t xml:space="preserve">entació de l’SLAM en un robot. </w:t>
      </w:r>
    </w:p>
    <w:p w:rsidR="00F360A8" w:rsidRPr="00F360A8" w:rsidRDefault="00F360A8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F360A8" w:rsidRDefault="00F360A8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F360A8">
        <w:rPr>
          <w:rFonts w:ascii="Arial" w:eastAsia="Times New Roman" w:hAnsi="Arial" w:cs="Arial"/>
          <w:color w:val="3F3F38"/>
          <w:lang w:val="ca-ES"/>
        </w:rPr>
        <w:t xml:space="preserve">L’Institut Torre del Palau, de Terrassa, va rebre un reconeixement pel seu programa per fomentar les vocacions tecnològiques entre els estudiants de secundària i batxillerat. La directora de l’Escola Superior Politècnica, Ester Bernadó, nomenada el passat 17 d’abril, va assistir a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lastRenderedPageBreak/>
        <w:t>l’Install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Party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per conèixer de primera mà els projectes presentats i va ser l’encarregada de fer el lliurament de premis. Al llarg de la tarda, es van realitzar tallers de</w:t>
      </w:r>
      <w:r w:rsidRPr="00885285">
        <w:rPr>
          <w:rFonts w:ascii="Arial" w:eastAsia="Times New Roman" w:hAnsi="Arial" w:cs="Arial"/>
          <w:i/>
          <w:color w:val="3F3F38"/>
          <w:lang w:val="ca-ES"/>
        </w:rPr>
        <w:t xml:space="preserve"> </w:t>
      </w:r>
      <w:proofErr w:type="spellStart"/>
      <w:r w:rsidRPr="00885285">
        <w:rPr>
          <w:rFonts w:ascii="Arial" w:eastAsia="Times New Roman" w:hAnsi="Arial" w:cs="Arial"/>
          <w:i/>
          <w:color w:val="3F3F38"/>
          <w:lang w:val="ca-ES"/>
        </w:rPr>
        <w:t>motion</w:t>
      </w:r>
      <w:proofErr w:type="spellEnd"/>
      <w:r w:rsidRPr="00885285">
        <w:rPr>
          <w:rFonts w:ascii="Arial" w:eastAsia="Times New Roman" w:hAnsi="Arial" w:cs="Arial"/>
          <w:i/>
          <w:color w:val="3F3F38"/>
          <w:lang w:val="ca-ES"/>
        </w:rPr>
        <w:t xml:space="preserve"> </w:t>
      </w:r>
      <w:proofErr w:type="spellStart"/>
      <w:r w:rsidRPr="00885285">
        <w:rPr>
          <w:rFonts w:ascii="Arial" w:eastAsia="Times New Roman" w:hAnsi="Arial" w:cs="Arial"/>
          <w:i/>
          <w:color w:val="3F3F38"/>
          <w:lang w:val="ca-ES"/>
        </w:rPr>
        <w:t>capture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, programació de videojocs amb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Unity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, creació d’ulleres de realitat virtual i animació de videojocs, que van comptar amb prop de quaranta participants. També hi van participar amb un estand algunes empreses del sector, entre les quals destaquen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Edukem-nos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,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Sukuru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i Eco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White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. Com a novetat, aquest any es va disputar un torneig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d’eSports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en dos jocs,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OverWatch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i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League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of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Legends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>, en el qual van participar-hi uns vuitanta estudiants.</w:t>
      </w:r>
    </w:p>
    <w:p w:rsidR="00F360A8" w:rsidRPr="00F360A8" w:rsidRDefault="00F360A8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Default="00F360A8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L’Install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Party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 xml:space="preserve"> és una activitat que s’emmarca dins del moviment </w:t>
      </w:r>
      <w:proofErr w:type="spellStart"/>
      <w:r w:rsidRPr="00F360A8">
        <w:rPr>
          <w:rFonts w:ascii="Arial" w:eastAsia="Times New Roman" w:hAnsi="Arial" w:cs="Arial"/>
          <w:color w:val="3F3F38"/>
          <w:lang w:val="ca-ES"/>
        </w:rPr>
        <w:t>Xnergic</w:t>
      </w:r>
      <w:proofErr w:type="spellEnd"/>
      <w:r w:rsidRPr="00F360A8">
        <w:rPr>
          <w:rFonts w:ascii="Arial" w:eastAsia="Times New Roman" w:hAnsi="Arial" w:cs="Arial"/>
          <w:color w:val="3F3F38"/>
          <w:lang w:val="ca-ES"/>
        </w:rPr>
        <w:t>, una iniciativa impulsada des del TecnoCampus per fomentar les vocacions tecnològics entre joves de 14 a 18 anys que tinguin interès per la tecnologia, o que potser encara no en tenen però volen veure què implica la tecnologia i què se'n pot arribar a fer.</w:t>
      </w:r>
    </w:p>
    <w:p w:rsidR="00F360A8" w:rsidRPr="00A344C4" w:rsidRDefault="00F360A8" w:rsidP="00F360A8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723766" w:rsidRDefault="00C50C1A" w:rsidP="00A344C4">
      <w:pPr>
        <w:pStyle w:val="Body"/>
        <w:tabs>
          <w:tab w:val="left" w:pos="2670"/>
        </w:tabs>
        <w:rPr>
          <w:lang w:val="es-ES"/>
        </w:rPr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6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sectPr w:rsidR="00C50C1A" w:rsidRPr="007237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F360A8">
                            <w:t>331</w:t>
                          </w:r>
                        </w:p>
                        <w:p w:rsidR="009D3E93" w:rsidRDefault="009D3E93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F360A8">
                      <w:t>331</w:t>
                    </w:r>
                  </w:p>
                  <w:p w:rsidR="009D3E93" w:rsidRDefault="009D3E93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885285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A344C4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F360A8">
                            <w:t>331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F360A8">
                      <w:t>331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885285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A344C4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E7638"/>
    <w:rsid w:val="002F5EE7"/>
    <w:rsid w:val="002F77A6"/>
    <w:rsid w:val="003B00AD"/>
    <w:rsid w:val="004504E6"/>
    <w:rsid w:val="004E751B"/>
    <w:rsid w:val="0052492E"/>
    <w:rsid w:val="00525445"/>
    <w:rsid w:val="00537BC9"/>
    <w:rsid w:val="005857C5"/>
    <w:rsid w:val="005D7250"/>
    <w:rsid w:val="00680744"/>
    <w:rsid w:val="006A5ACC"/>
    <w:rsid w:val="00723766"/>
    <w:rsid w:val="007B0AA3"/>
    <w:rsid w:val="0082132E"/>
    <w:rsid w:val="00885285"/>
    <w:rsid w:val="008C4CA1"/>
    <w:rsid w:val="009135B3"/>
    <w:rsid w:val="0093168E"/>
    <w:rsid w:val="009D3E93"/>
    <w:rsid w:val="00A14502"/>
    <w:rsid w:val="00A344C4"/>
    <w:rsid w:val="00AA470C"/>
    <w:rsid w:val="00AC3487"/>
    <w:rsid w:val="00AF6CD7"/>
    <w:rsid w:val="00AF6D46"/>
    <w:rsid w:val="00B207E8"/>
    <w:rsid w:val="00B71989"/>
    <w:rsid w:val="00B745D7"/>
    <w:rsid w:val="00B746BC"/>
    <w:rsid w:val="00B77839"/>
    <w:rsid w:val="00BA1543"/>
    <w:rsid w:val="00BA36C6"/>
    <w:rsid w:val="00C50C1A"/>
    <w:rsid w:val="00CB622B"/>
    <w:rsid w:val="00D11566"/>
    <w:rsid w:val="00D96B29"/>
    <w:rsid w:val="00F360A8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Eulàlia Ferreres Fernández</cp:lastModifiedBy>
  <cp:revision>5</cp:revision>
  <cp:lastPrinted>2018-02-28T12:25:00Z</cp:lastPrinted>
  <dcterms:created xsi:type="dcterms:W3CDTF">2018-04-23T10:38:00Z</dcterms:created>
  <dcterms:modified xsi:type="dcterms:W3CDTF">2018-04-25T06:53:00Z</dcterms:modified>
</cp:coreProperties>
</file>